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E4" w:rsidRPr="007A4E20" w:rsidRDefault="006527E4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A4E20">
        <w:rPr>
          <w:rFonts w:ascii="Times New Roman" w:eastAsia="Calibri" w:hAnsi="Times New Roman" w:cs="Times New Roman"/>
          <w:sz w:val="24"/>
          <w:szCs w:val="28"/>
        </w:rPr>
        <w:t>PATVIRTINTA</w:t>
      </w:r>
    </w:p>
    <w:p w:rsidR="003512D2" w:rsidRPr="007A4E20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A4E20">
        <w:rPr>
          <w:rFonts w:ascii="Times New Roman" w:eastAsia="Calibri" w:hAnsi="Times New Roman" w:cs="Times New Roman"/>
          <w:sz w:val="24"/>
          <w:szCs w:val="28"/>
        </w:rPr>
        <w:t>Kauno miesto savivaldybės administracijos direktoriaus</w:t>
      </w:r>
    </w:p>
    <w:p w:rsidR="003512D2" w:rsidRPr="007A4E20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A4E20">
        <w:rPr>
          <w:rFonts w:ascii="Times New Roman" w:eastAsia="Calibri" w:hAnsi="Times New Roman" w:cs="Times New Roman"/>
          <w:sz w:val="24"/>
          <w:szCs w:val="28"/>
        </w:rPr>
        <w:t>201</w:t>
      </w:r>
      <w:r w:rsidR="00632BFC" w:rsidRPr="007A4E20">
        <w:rPr>
          <w:rFonts w:ascii="Times New Roman" w:eastAsia="Calibri" w:hAnsi="Times New Roman" w:cs="Times New Roman"/>
          <w:sz w:val="24"/>
          <w:szCs w:val="28"/>
        </w:rPr>
        <w:t>8</w:t>
      </w:r>
      <w:r w:rsidRPr="007A4E20">
        <w:rPr>
          <w:rFonts w:ascii="Times New Roman" w:eastAsia="Calibri" w:hAnsi="Times New Roman" w:cs="Times New Roman"/>
          <w:sz w:val="24"/>
          <w:szCs w:val="28"/>
        </w:rPr>
        <w:t xml:space="preserve"> m.</w:t>
      </w:r>
      <w:r w:rsidR="002B6867" w:rsidRPr="007A4E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612A5" w:rsidRPr="007A4E20">
        <w:rPr>
          <w:rFonts w:ascii="Times New Roman" w:eastAsia="Calibri" w:hAnsi="Times New Roman" w:cs="Times New Roman"/>
          <w:sz w:val="24"/>
          <w:szCs w:val="28"/>
        </w:rPr>
        <w:t>..............................</w:t>
      </w:r>
    </w:p>
    <w:p w:rsidR="006527E4" w:rsidRPr="007A4E20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7A4E20">
        <w:rPr>
          <w:rFonts w:ascii="Times New Roman" w:eastAsia="Calibri" w:hAnsi="Times New Roman" w:cs="Times New Roman"/>
          <w:sz w:val="24"/>
          <w:szCs w:val="28"/>
        </w:rPr>
        <w:t>įsakymu Nr. A-</w:t>
      </w:r>
      <w:r w:rsidR="00B612A5" w:rsidRPr="007A4E20">
        <w:rPr>
          <w:rFonts w:ascii="Times New Roman" w:eastAsia="Calibri" w:hAnsi="Times New Roman" w:cs="Times New Roman"/>
          <w:sz w:val="24"/>
          <w:szCs w:val="28"/>
        </w:rPr>
        <w:t>.........</w:t>
      </w:r>
    </w:p>
    <w:p w:rsidR="00D31F3F" w:rsidRPr="007A4E20" w:rsidRDefault="00D31F3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3DCC" w:rsidRPr="007A4E20" w:rsidRDefault="007C3DCC" w:rsidP="007C3DCC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E20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</w:t>
      </w:r>
      <w:r w:rsidR="00EC1EE5" w:rsidRPr="007A4E20">
        <w:rPr>
          <w:rFonts w:ascii="Times New Roman" w:eastAsia="Calibri" w:hAnsi="Times New Roman" w:cs="Times New Roman"/>
          <w:b/>
          <w:sz w:val="24"/>
          <w:szCs w:val="24"/>
        </w:rPr>
        <w:t xml:space="preserve">VIEŠŲJŲ ERDVIŲ AKCENTŲ SUKŪRIMO IR ĮGYVENDINIMO PROJEKTŲ </w:t>
      </w:r>
      <w:r w:rsidRPr="007A4E20">
        <w:rPr>
          <w:rFonts w:ascii="Times New Roman" w:eastAsia="Calibri" w:hAnsi="Times New Roman" w:cs="Times New Roman"/>
          <w:b/>
          <w:sz w:val="24"/>
          <w:szCs w:val="24"/>
        </w:rPr>
        <w:t>PARAIŠKAS</w:t>
      </w:r>
      <w:r w:rsidRPr="007A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CC" w:rsidRPr="007A4E20" w:rsidRDefault="007C3DCC" w:rsidP="007C3DCC">
      <w:pPr>
        <w:spacing w:after="0" w:line="31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E20">
        <w:rPr>
          <w:rFonts w:ascii="Times New Roman" w:eastAsia="Calibri" w:hAnsi="Times New Roman" w:cs="Times New Roman"/>
          <w:b/>
          <w:sz w:val="24"/>
          <w:szCs w:val="24"/>
        </w:rPr>
        <w:t>NR. 2018-1</w:t>
      </w:r>
    </w:p>
    <w:p w:rsidR="001A675A" w:rsidRPr="007A4E20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13041"/>
      </w:tblGrid>
      <w:tr w:rsidR="00420B2A" w:rsidRPr="007A4E20" w:rsidTr="003D4A39">
        <w:trPr>
          <w:trHeight w:val="732"/>
        </w:trPr>
        <w:tc>
          <w:tcPr>
            <w:tcW w:w="675" w:type="dxa"/>
            <w:shd w:val="clear" w:color="auto" w:fill="auto"/>
            <w:vAlign w:val="center"/>
          </w:tcPr>
          <w:p w:rsidR="00420B2A" w:rsidRPr="007A4E20" w:rsidRDefault="00420B2A" w:rsidP="00147A53">
            <w:pPr>
              <w:spacing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20B2A" w:rsidRPr="007A4E20" w:rsidRDefault="00004A31" w:rsidP="00147A53">
            <w:pPr>
              <w:spacing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Finansavimo s</w:t>
            </w:r>
            <w:r w:rsidR="00420B2A" w:rsidRPr="007A4E20">
              <w:rPr>
                <w:rFonts w:ascii="Times New Roman" w:hAnsi="Times New Roman" w:cs="Times New Roman"/>
                <w:sz w:val="24"/>
                <w:szCs w:val="28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420B2A" w:rsidRPr="007A4E20" w:rsidRDefault="00A51650" w:rsidP="00147A53">
            <w:pPr>
              <w:spacing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Aprašymas</w:t>
            </w:r>
          </w:p>
        </w:tc>
      </w:tr>
      <w:tr w:rsidR="001E2C8B" w:rsidRPr="007A4E20" w:rsidTr="003D4A39">
        <w:tc>
          <w:tcPr>
            <w:tcW w:w="675" w:type="dxa"/>
          </w:tcPr>
          <w:p w:rsidR="001E2C8B" w:rsidRPr="007A4E20" w:rsidRDefault="00EC1EE5" w:rsidP="00147A53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7A4E20" w:rsidRDefault="00341287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Tinkamos</w:t>
            </w:r>
            <w:r w:rsidR="001E2C8B" w:rsidRPr="007A4E20">
              <w:rPr>
                <w:rFonts w:ascii="Times New Roman" w:hAnsi="Times New Roman" w:cs="Times New Roman"/>
                <w:sz w:val="24"/>
                <w:szCs w:val="28"/>
              </w:rPr>
              <w:t xml:space="preserve"> veiklos</w:t>
            </w:r>
          </w:p>
        </w:tc>
        <w:tc>
          <w:tcPr>
            <w:tcW w:w="13041" w:type="dxa"/>
          </w:tcPr>
          <w:p w:rsidR="00EC1EE5" w:rsidRPr="007A4E20" w:rsidRDefault="00EC1EE5" w:rsidP="009D6CC3">
            <w:pPr>
              <w:spacing w:line="324" w:lineRule="auto"/>
              <w:ind w:left="3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Skulptūrų, dizaino objektų, šviesos ar kit</w:t>
            </w:r>
            <w:r w:rsidR="006B63E7" w:rsidRPr="007A4E20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instaliacijų</w:t>
            </w:r>
            <w:r w:rsidR="006B63E7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apšvietim</w:t>
            </w:r>
            <w:r w:rsidR="006B63E7" w:rsidRPr="007A4E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, gatvės tapybos ir kitų sričių akcentų, kurie suteiktų Kauno viešosioms erdvėms patrauklumo</w:t>
            </w:r>
            <w:r w:rsidR="00C430DF" w:rsidRPr="007A4E20">
              <w:rPr>
                <w:rFonts w:ascii="Times New Roman" w:hAnsi="Times New Roman" w:cs="Times New Roman"/>
                <w:sz w:val="24"/>
                <w:szCs w:val="24"/>
              </w:rPr>
              <w:t>, savitumo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C430DF" w:rsidRPr="007A4E20">
              <w:rPr>
                <w:rFonts w:ascii="Times New Roman" w:hAnsi="Times New Roman" w:cs="Times New Roman"/>
                <w:sz w:val="24"/>
                <w:szCs w:val="24"/>
              </w:rPr>
              <w:t>individualumo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, sukūrimas ir įrengimas.</w:t>
            </w:r>
          </w:p>
          <w:p w:rsidR="00787F83" w:rsidRPr="007A4E20" w:rsidRDefault="00EC1EE5" w:rsidP="009D6CC3">
            <w:pPr>
              <w:spacing w:line="324" w:lineRule="auto"/>
              <w:ind w:left="3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Viešųjų erdvių akcentai</w:t>
            </w:r>
            <w:r w:rsidR="00AF62EF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turėtų </w:t>
            </w:r>
            <w:r w:rsidR="00632BFC" w:rsidRPr="007A4E20">
              <w:rPr>
                <w:rFonts w:ascii="Times New Roman" w:hAnsi="Times New Roman" w:cs="Times New Roman"/>
                <w:sz w:val="24"/>
                <w:szCs w:val="24"/>
              </w:rPr>
              <w:t>derėti ir įsikomponuoti pasirinktoje aplinkoje, atspindėti Kauno miesto ir Lietuvos savitumą, tradicijas ir šiandieninį gyvenimą,</w:t>
            </w:r>
            <w:r w:rsidR="00A51295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FC" w:rsidRPr="007A4E20">
              <w:rPr>
                <w:rFonts w:ascii="Times New Roman" w:hAnsi="Times New Roman" w:cs="Times New Roman"/>
                <w:sz w:val="24"/>
                <w:szCs w:val="24"/>
              </w:rPr>
              <w:t>nekelti asociacijų su kitais miestais (šalimis), turėti meninę vertę, būt</w:t>
            </w:r>
            <w:r w:rsidR="00A51295" w:rsidRPr="007A4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2BFC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išskirtin</w:t>
            </w:r>
            <w:r w:rsidR="006B63E7" w:rsidRPr="007A4E20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r w:rsidR="00632BFC" w:rsidRPr="007A4E20">
              <w:rPr>
                <w:rFonts w:ascii="Times New Roman" w:hAnsi="Times New Roman" w:cs="Times New Roman"/>
                <w:sz w:val="24"/>
                <w:szCs w:val="24"/>
              </w:rPr>
              <w:t>, originalios formos bei turinio (svarbu estetinė ir vizualinė kūrinio kokybė), būti sukurt</w:t>
            </w:r>
            <w:r w:rsidR="006B63E7" w:rsidRPr="007A4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2BFC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iš patvarių, ilgaamžiškų medžiagų.</w:t>
            </w:r>
            <w:r w:rsidR="00787F83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C8B" w:rsidRPr="007A4E20" w:rsidTr="003D4A39">
        <w:tc>
          <w:tcPr>
            <w:tcW w:w="675" w:type="dxa"/>
          </w:tcPr>
          <w:p w:rsidR="001E2C8B" w:rsidRPr="007A4E20" w:rsidRDefault="00EC1EE5" w:rsidP="00147A53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7A4E20" w:rsidRDefault="00E55F4C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Tinkamos išlaidos</w:t>
            </w:r>
          </w:p>
        </w:tc>
        <w:tc>
          <w:tcPr>
            <w:tcW w:w="13041" w:type="dxa"/>
          </w:tcPr>
          <w:p w:rsidR="001E2C8B" w:rsidRPr="007A4E20" w:rsidRDefault="001E2C8B" w:rsidP="00147A53">
            <w:pPr>
              <w:spacing w:line="324" w:lineRule="auto"/>
              <w:ind w:firstLine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Projekto vykdymo išlaidos (</w:t>
            </w:r>
            <w:r w:rsidR="00705033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projektavimo išlaidos; projekto įgyvendinimo išlaidos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B752B1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FB6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55F4C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rojekto vykdymo išlaidos </w:t>
            </w:r>
            <w:r w:rsidR="001E1CC6" w:rsidRPr="007A4E20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r w:rsidR="006B2FB6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sudaryti </w:t>
            </w:r>
            <w:r w:rsidR="001E1CC6" w:rsidRPr="007A4E20">
              <w:rPr>
                <w:rFonts w:ascii="Times New Roman" w:hAnsi="Times New Roman" w:cs="Times New Roman"/>
                <w:sz w:val="24"/>
                <w:szCs w:val="24"/>
              </w:rPr>
              <w:t>ne mažiau kaip</w:t>
            </w:r>
            <w:r w:rsidR="00D938EB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F4C" w:rsidRPr="007A4E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938EB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proc. visų </w:t>
            </w:r>
            <w:r w:rsidR="00D938E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tinkamų </w:t>
            </w:r>
            <w:r w:rsidR="000265D3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finansuoti projekto </w:t>
            </w:r>
            <w:r w:rsidR="00D938E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išlaidų.</w:t>
            </w:r>
          </w:p>
          <w:p w:rsidR="00147A53" w:rsidRPr="007A4E20" w:rsidRDefault="001E2C8B" w:rsidP="00E208D9">
            <w:pPr>
              <w:spacing w:line="324" w:lineRule="auto"/>
              <w:ind w:firstLine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Projekto administravimo išlaidos (projekto vadovo, kitų tiesiogiai projektą vykdančių darbuotojų, kurie administruoja projekto veiklas, ir finansininko</w:t>
            </w:r>
            <w:r w:rsidR="00292E9D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darbo užmokestis, socialinio draudimo įmokos</w:t>
            </w:r>
            <w:r w:rsidR="00432371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, įmokos</w:t>
            </w:r>
            <w:r w:rsidR="00292E9D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 Garantinį fondą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kanceliarinių prekių, kitų biuro prekių, išskyrus ilgalaikį turtą, įsigijimo išlaidos; projektą administruojančių darbuotojų telekomunikacinių ir pašto paslaugų, transporto </w:t>
            </w:r>
            <w:r w:rsidR="00E208D9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(degalai, transporto priemonių nuoma, transporto bilietai); patalpų nuomos ir eksploatacijos išlaidos)</w:t>
            </w:r>
            <w:r w:rsidR="00D938E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. P</w:t>
            </w:r>
            <w:r w:rsidR="00D938EB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rojekto </w:t>
            </w:r>
            <w:r w:rsidR="00912D68" w:rsidRPr="007A4E20">
              <w:rPr>
                <w:rFonts w:ascii="Times New Roman" w:hAnsi="Times New Roman" w:cs="Times New Roman"/>
                <w:sz w:val="24"/>
                <w:szCs w:val="24"/>
              </w:rPr>
              <w:t>administravimo</w:t>
            </w:r>
            <w:r w:rsidR="00D938EB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išlaidos gali sudaryti iki 25 proc. visų </w:t>
            </w:r>
            <w:r w:rsidR="00D938E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tinkamų </w:t>
            </w:r>
            <w:r w:rsidR="000265D3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finansuoti projekto </w:t>
            </w:r>
            <w:r w:rsidR="00D938E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išlaidų</w:t>
            </w:r>
            <w:r w:rsidR="00341287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5F4C" w:rsidRPr="007A4E20" w:rsidTr="003D4A39">
        <w:tc>
          <w:tcPr>
            <w:tcW w:w="675" w:type="dxa"/>
          </w:tcPr>
          <w:p w:rsidR="00E55F4C" w:rsidRPr="007A4E20" w:rsidRDefault="00EC1EE5" w:rsidP="00147A53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E55F4C" w:rsidRPr="007A4E20" w:rsidRDefault="00E55F4C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Netinkamos išlaidos</w:t>
            </w:r>
          </w:p>
        </w:tc>
        <w:tc>
          <w:tcPr>
            <w:tcW w:w="13041" w:type="dxa"/>
          </w:tcPr>
          <w:p w:rsidR="00B7237A" w:rsidRPr="007A4E20" w:rsidRDefault="000E5CE4" w:rsidP="00147A53">
            <w:pPr>
              <w:spacing w:line="324" w:lineRule="auto"/>
              <w:ind w:firstLine="48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pagal sutartis su konsultantais, tarpininkais, kuriems mokestis nurodomas kaip viso projekto vertės procentinė dalis; baudos, delspinigiai, </w:t>
            </w:r>
            <w:r w:rsidR="00D31F3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finansinėms nuobaudoms, bylinėjimosi išlaidos, </w:t>
            </w:r>
            <w:r w:rsidR="00D31F3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paskolų palūkanoms ir skolų padengimo išlaidos; </w:t>
            </w:r>
            <w:r w:rsidR="00D31F3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investiciniams projektams</w:t>
            </w:r>
            <w:r w:rsidR="00292E9D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6158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statiniams</w:t>
            </w:r>
            <w:r w:rsidR="00872D3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, tiesiogiai nesusijusi</w:t>
            </w:r>
            <w:r w:rsidR="009E75F0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em</w:t>
            </w:r>
            <w:r w:rsidR="00872D3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s su projekto įgyvendinimu,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58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statyti ir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rekonstruoti; </w:t>
            </w:r>
            <w:r w:rsidR="00D31F3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ilgalaikiam materialiajam ir nematerialiajam turtui, tiesiogiai nesusijusiam su projekto įgyvendinimu, įsigyti;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</w:t>
            </w:r>
            <w:r w:rsidR="00292E9D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(pavyzdžiui, biuro nuomai ar komunalinėms paslaugoms)</w:t>
            </w:r>
            <w:r w:rsidR="00292E9D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tiesiogiai nesusijusios su projekto įgyvendinimu; </w:t>
            </w:r>
            <w:r w:rsidR="00D31F3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pastatų ir patalpų remontui, tiesiogiai nesusijusiam su projekto įgyvendinimu; </w:t>
            </w:r>
            <w:r w:rsidR="00D31F3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narystės asociacijose mokesčiams </w:t>
            </w:r>
            <w:r w:rsidR="00362D62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mokėti, jei šios išlaidos tiesiogiai nesusi</w:t>
            </w:r>
            <w:r w:rsidR="00846ED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jusios su projekto įgyvendinimu</w:t>
            </w:r>
            <w:r w:rsidR="00292E9D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C8B" w:rsidRPr="007A4E20" w:rsidTr="003D4A39">
        <w:trPr>
          <w:trHeight w:val="723"/>
        </w:trPr>
        <w:tc>
          <w:tcPr>
            <w:tcW w:w="675" w:type="dxa"/>
          </w:tcPr>
          <w:p w:rsidR="001E2C8B" w:rsidRPr="007A4E20" w:rsidRDefault="00EC1EE5" w:rsidP="00EC1EE5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7A4E20" w:rsidRDefault="001E2C8B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 xml:space="preserve">Projektų vertinimo kriterijai ir </w:t>
            </w:r>
            <w:r w:rsidR="00E55F4C" w:rsidRPr="007A4E20">
              <w:rPr>
                <w:rFonts w:ascii="Times New Roman" w:hAnsi="Times New Roman" w:cs="Times New Roman"/>
                <w:sz w:val="24"/>
                <w:szCs w:val="28"/>
              </w:rPr>
              <w:t>vertinimo</w:t>
            </w: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 xml:space="preserve"> balai</w:t>
            </w:r>
          </w:p>
        </w:tc>
        <w:tc>
          <w:tcPr>
            <w:tcW w:w="13041" w:type="dxa"/>
          </w:tcPr>
          <w:p w:rsidR="006527E4" w:rsidRPr="007A4E20" w:rsidRDefault="006527E4" w:rsidP="00147A53">
            <w:pPr>
              <w:spacing w:line="324" w:lineRule="auto"/>
              <w:ind w:firstLine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Bendrieji kriterijai:</w:t>
            </w:r>
          </w:p>
          <w:p w:rsidR="00986A4C" w:rsidRPr="007A4E20" w:rsidRDefault="00986A4C" w:rsidP="00986A4C">
            <w:pPr>
              <w:spacing w:line="360" w:lineRule="auto"/>
              <w:ind w:firstLine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pasiūlyto projekto sprendinių idėjos meniškumas, originalu</w:t>
            </w:r>
            <w:r w:rsidR="00E208D9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mas, dermė su supančia aplinka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(0−</w:t>
            </w:r>
            <w:r w:rsidRPr="007A4E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7A4E2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balų);</w:t>
            </w:r>
          </w:p>
          <w:p w:rsidR="00986A4C" w:rsidRPr="007A4E20" w:rsidRDefault="00986A4C" w:rsidP="00986A4C">
            <w:pPr>
              <w:spacing w:line="360" w:lineRule="auto"/>
              <w:ind w:firstLine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medžiagiškumas, patvarumas ir ilgaamžiškumas (0−20 balų);</w:t>
            </w:r>
          </w:p>
          <w:p w:rsidR="00986A4C" w:rsidRPr="007A4E20" w:rsidRDefault="00986A4C" w:rsidP="00986A4C">
            <w:pPr>
              <w:spacing w:line="360" w:lineRule="auto"/>
              <w:ind w:firstLine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funkcionalumas ir naudojimo saugumas (0−15 balų); </w:t>
            </w:r>
          </w:p>
          <w:p w:rsidR="00986A4C" w:rsidRPr="007A4E20" w:rsidRDefault="00986A4C" w:rsidP="00986A4C">
            <w:pPr>
              <w:spacing w:line="360" w:lineRule="auto"/>
              <w:ind w:firstLine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projekto biudžeto pagrįstumas ir ekonominis įgyvendinimo realumas (0−10 balų).</w:t>
            </w:r>
          </w:p>
          <w:p w:rsidR="00986A4C" w:rsidRPr="007A4E20" w:rsidRDefault="00986A4C" w:rsidP="00986A4C">
            <w:pPr>
              <w:spacing w:line="360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Specialusis kriterijus – nuosavas piniginis įnašas (įskaitant partnerių ar rėmėjų lėšas):</w:t>
            </w:r>
          </w:p>
          <w:p w:rsidR="00986A4C" w:rsidRPr="007A4E20" w:rsidRDefault="00986A4C" w:rsidP="00986A4C">
            <w:pPr>
              <w:spacing w:line="360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iki 5 procentų projekto vertės – 5 balai;</w:t>
            </w:r>
          </w:p>
          <w:p w:rsidR="00986A4C" w:rsidRPr="007A4E20" w:rsidRDefault="00986A4C" w:rsidP="00986A4C">
            <w:pPr>
              <w:spacing w:line="360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nuo 6 iki 10 procentų projekto vertės – 10 balų;</w:t>
            </w:r>
          </w:p>
          <w:p w:rsidR="00C8451C" w:rsidRPr="007A4E20" w:rsidRDefault="00986A4C" w:rsidP="00432371">
            <w:pPr>
              <w:spacing w:line="324" w:lineRule="auto"/>
              <w:ind w:firstLine="48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daugiau kaip 10 procentų projekto vertės – 15 balų</w:t>
            </w:r>
            <w:r w:rsidR="00E208D9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E2C8B" w:rsidRPr="007A4E20" w:rsidTr="003D4A39">
        <w:tc>
          <w:tcPr>
            <w:tcW w:w="675" w:type="dxa"/>
          </w:tcPr>
          <w:p w:rsidR="001E2C8B" w:rsidRPr="007A4E20" w:rsidRDefault="00EC1EE5" w:rsidP="00147A53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7A4E20" w:rsidRDefault="00392BBA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Reikalavimai pareiškėjams</w:t>
            </w:r>
          </w:p>
        </w:tc>
        <w:tc>
          <w:tcPr>
            <w:tcW w:w="13041" w:type="dxa"/>
          </w:tcPr>
          <w:p w:rsidR="00D45CF7" w:rsidRPr="007A4E20" w:rsidRDefault="006D5158" w:rsidP="00147A53">
            <w:pPr>
              <w:spacing w:after="160" w:line="324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Pareiškėjais gali būti juridiniai </w:t>
            </w:r>
            <w:r w:rsidR="00AF0165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fiziniai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asmenys. Jei projektą įgyvendina daugiau nei vienas juridinis</w:t>
            </w:r>
            <w:r w:rsidR="0026158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fizinis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asmuo, paraišką turi teisę teikti tik vienas juridinis </w:t>
            </w:r>
            <w:r w:rsidR="0026158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fizinis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asmuo. Pareiškėjas teisės aktų nustatyta tvarka turi būti tinkamai atsiskaitęs už ankstesniais metais iš Kauno miesto savivaldybės biudžeto skirtų (jeigu buvo skirta) lėšų panaudojimą.</w:t>
            </w:r>
            <w:r w:rsidR="00AF0165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Jeigu pareiškėjas </w:t>
            </w:r>
            <w:r w:rsidR="00557DF3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yra </w:t>
            </w:r>
            <w:r w:rsidR="00AF0165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fizinis asmuo, jis </w:t>
            </w:r>
            <w:r w:rsidR="00557DF3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įregistruoti individualią veiklą, gauti verslo liudijimą ar įsteigti įmonę </w:t>
            </w:r>
            <w:r w:rsidR="00AF0165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ne vėli</w:t>
            </w:r>
            <w:r w:rsidR="00557DF3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au kaip per 15 darbo dienų nuo Kauno miesto s</w:t>
            </w:r>
            <w:r w:rsidR="00AF0165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avivaldybės administracijos direktoriaus sprendimo skirti finansav</w:t>
            </w:r>
            <w:r w:rsidR="00CB12C6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imą projektui įgyvendinti</w:t>
            </w:r>
            <w:r w:rsidR="00557DF3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priėmimo</w:t>
            </w:r>
            <w:r w:rsidR="00500217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D5158" w:rsidRPr="007A4E20" w:rsidRDefault="006D5158" w:rsidP="00147A53">
            <w:pPr>
              <w:spacing w:after="160" w:line="324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Pareiškėjo projektas nefinansuojamas, jeigu paaiškėja, kad:</w:t>
            </w:r>
          </w:p>
          <w:p w:rsidR="006D5158" w:rsidRPr="007A4E20" w:rsidRDefault="006D5158" w:rsidP="00147A53">
            <w:pPr>
              <w:spacing w:after="160" w:line="324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pareiškėjas yra likviduojamas, reorganizuojamas, pertvarkomas, sustabdęs ar apribojęs savo veiklą;</w:t>
            </w:r>
          </w:p>
          <w:p w:rsidR="006D5158" w:rsidRPr="007A4E20" w:rsidRDefault="006D5158" w:rsidP="00147A53">
            <w:pPr>
              <w:spacing w:after="160" w:line="324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pareiškėjas paraiškoje pateikė klaidinančią arba melagingą informaciją;</w:t>
            </w:r>
          </w:p>
          <w:p w:rsidR="006D5158" w:rsidRPr="007A4E20" w:rsidRDefault="006D5158" w:rsidP="00147A53">
            <w:pPr>
              <w:spacing w:after="160" w:line="324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pareiškėjas yra gavęs Kauno miesto savivaldybės biudžeto lėšų ir neatsiskaitęs už jų panaudojimą nustatyta tvarka arba gautas lėšas naudojęs ne pagal paskirtį;</w:t>
            </w:r>
          </w:p>
          <w:p w:rsidR="006D5158" w:rsidRPr="007A4E20" w:rsidRDefault="006D5158" w:rsidP="00147A53">
            <w:pPr>
              <w:spacing w:after="160" w:line="324" w:lineRule="auto"/>
              <w:ind w:firstLine="4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yra pateikęs paraiškų finansuoti veiklas, kurios yra to paties projekto dalys, pagal kitas </w:t>
            </w:r>
            <w:r w:rsidR="0026158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viešojo sektoriaus      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finansavimo programas. </w:t>
            </w:r>
          </w:p>
          <w:p w:rsidR="001E2C8B" w:rsidRPr="007A4E20" w:rsidRDefault="0065305C" w:rsidP="00147A53">
            <w:pPr>
              <w:spacing w:line="324" w:lineRule="auto"/>
              <w:ind w:firstLine="48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Pareiškėjo pajėgumai ir projektą įgyvendinančių asmenų patirtis turi būti pakankami, kad projektas būtų sėkmingai įgyvendintas.</w:t>
            </w:r>
            <w:r w:rsidR="000B3248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C8B" w:rsidRPr="007A4E20" w:rsidTr="003D4A39">
        <w:tc>
          <w:tcPr>
            <w:tcW w:w="675" w:type="dxa"/>
          </w:tcPr>
          <w:p w:rsidR="001E2C8B" w:rsidRPr="007A4E20" w:rsidRDefault="00EC1EE5" w:rsidP="00147A53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7A4E20" w:rsidRDefault="001E2C8B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Finansavimo intensyvumas</w:t>
            </w:r>
          </w:p>
        </w:tc>
        <w:tc>
          <w:tcPr>
            <w:tcW w:w="13041" w:type="dxa"/>
          </w:tcPr>
          <w:p w:rsidR="005A623F" w:rsidRPr="007A4E20" w:rsidRDefault="00E55F4C" w:rsidP="00147A53">
            <w:pPr>
              <w:spacing w:line="324" w:lineRule="auto"/>
              <w:ind w:firstLine="48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  <w:r w:rsidR="00362D62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ui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įgyvendinti </w:t>
            </w:r>
            <w:r w:rsidR="009E53E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iš Kauno miesto s</w:t>
            </w:r>
            <w:r w:rsidR="00CE3347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biudžeto 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gali būti skiriam</w:t>
            </w:r>
            <w:r w:rsidR="009E53EF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12C6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lėšų </w:t>
            </w:r>
            <w:r w:rsidR="00CE3347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</w:t>
            </w:r>
            <w:r w:rsidR="001E1CC6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E3347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proc.</w:t>
            </w:r>
            <w:r w:rsidR="00846ED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tinkamų </w:t>
            </w:r>
            <w:r w:rsidR="00B23DC6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finansuoti projekto </w:t>
            </w:r>
            <w:r w:rsidR="00846EDB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išlaidų</w:t>
            </w:r>
            <w:r w:rsidR="00CB12C6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</w:t>
            </w:r>
            <w:r w:rsidR="00195A6E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. Pareiškėjo ir (ar) kitų  finansavimo šaltinių įnašas suteikia galimybę gauti papildomų vertinimo balų.</w:t>
            </w:r>
          </w:p>
        </w:tc>
      </w:tr>
      <w:tr w:rsidR="004351B0" w:rsidRPr="007A4E20" w:rsidTr="003D4A39">
        <w:tc>
          <w:tcPr>
            <w:tcW w:w="675" w:type="dxa"/>
          </w:tcPr>
          <w:p w:rsidR="004351B0" w:rsidRPr="007A4E20" w:rsidRDefault="00EC1EE5" w:rsidP="00EC1EE5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4351B0" w:rsidRPr="007A4E20" w:rsidRDefault="004351B0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Paraiškų teikimo tvarka</w:t>
            </w:r>
          </w:p>
        </w:tc>
        <w:tc>
          <w:tcPr>
            <w:tcW w:w="13041" w:type="dxa"/>
          </w:tcPr>
          <w:p w:rsidR="00171932" w:rsidRPr="007A4E20" w:rsidRDefault="00AF7270" w:rsidP="00147A53">
            <w:pPr>
              <w:spacing w:line="324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Paraiška</w:t>
            </w:r>
            <w:r w:rsidR="00171932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kartu su pridedamais paraiškos formoje nurodytais dokumentais</w:t>
            </w:r>
            <w:r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1EE5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teikiama elektroniniu būdu adresu </w:t>
            </w:r>
            <w:hyperlink r:id="rId8" w:history="1">
              <w:r w:rsidR="009B5BC6" w:rsidRPr="007A4E2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http://akcentai.kaunas.lt/</w:t>
              </w:r>
            </w:hyperlink>
            <w:r w:rsidR="00171932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arba užklijuotame voke (pakete), ant kurio turi būti užrašas „Paraiška“, nurodytas kvietimo numeris, projekto pavadinimas, pareiškėjo pava</w:t>
            </w:r>
            <w:bookmarkStart w:id="0" w:name="_GoBack"/>
            <w:r w:rsidR="00171932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bookmarkEnd w:id="0"/>
            <w:r w:rsidR="00171932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inimas </w:t>
            </w:r>
            <w:r w:rsidR="007A4E20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>arba vardas ir pavardė,</w:t>
            </w:r>
            <w:r w:rsidR="00171932" w:rsidRPr="007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adresas. Kartu su tinkamai lietuvių kalba užpildyta popierine paraiška turi būti pateikiama kompiuterinė</w:t>
            </w:r>
            <w:r w:rsidR="00171932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laikmena su nuskenuota paraiška ir pridedamais dokumentais.</w:t>
            </w:r>
          </w:p>
          <w:p w:rsidR="00B23DC6" w:rsidRPr="007A4E20" w:rsidRDefault="00AF7270" w:rsidP="00147A53">
            <w:pPr>
              <w:spacing w:line="324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Pareiškėjas atsako už paraiškoje nurodytų duomenų teisingumą. </w:t>
            </w:r>
          </w:p>
          <w:p w:rsidR="004351B0" w:rsidRPr="007A4E20" w:rsidRDefault="00AF7270" w:rsidP="002F5C35">
            <w:pPr>
              <w:spacing w:line="324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Paraiškos priimamos </w:t>
            </w:r>
            <w:r w:rsidR="00AF6556" w:rsidRPr="007A4E20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282D07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32BFC" w:rsidRPr="007A4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D07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9B5BC6" w:rsidRPr="007A4E20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632BFC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3C" w:rsidRPr="007A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295" w:rsidRPr="007A4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158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07" w:rsidRPr="007A4E2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F5C35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nuolat. </w:t>
            </w:r>
            <w:r w:rsidR="002F5C35" w:rsidRPr="007A4E20">
              <w:rPr>
                <w:rFonts w:ascii="Times New Roman" w:hAnsi="Times New Roman"/>
                <w:sz w:val="24"/>
                <w:szCs w:val="24"/>
              </w:rPr>
              <w:t>Gautos paraiškos vertinamos pasibaigus kiekvienam kalendoriniam mėnesiui.</w:t>
            </w:r>
          </w:p>
        </w:tc>
      </w:tr>
      <w:tr w:rsidR="001E2C8B" w:rsidRPr="007A4E20" w:rsidTr="003D4A39">
        <w:tc>
          <w:tcPr>
            <w:tcW w:w="675" w:type="dxa"/>
          </w:tcPr>
          <w:p w:rsidR="001E2C8B" w:rsidRPr="007A4E20" w:rsidRDefault="00171932" w:rsidP="00171932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7A4E20" w:rsidRDefault="001E2C8B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Kitos sąlygos</w:t>
            </w:r>
          </w:p>
        </w:tc>
        <w:tc>
          <w:tcPr>
            <w:tcW w:w="13041" w:type="dxa"/>
          </w:tcPr>
          <w:p w:rsidR="001A675A" w:rsidRPr="007A4E20" w:rsidRDefault="00341287" w:rsidP="00147A53">
            <w:pPr>
              <w:spacing w:line="324" w:lineRule="auto"/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Vienas </w:t>
            </w:r>
            <w:r w:rsidR="00AE4287" w:rsidRPr="007A4E20">
              <w:rPr>
                <w:rFonts w:ascii="Times New Roman" w:hAnsi="Times New Roman" w:cs="Times New Roman"/>
                <w:sz w:val="24"/>
                <w:szCs w:val="24"/>
              </w:rPr>
              <w:t>pareiškėjas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gali te</w:t>
            </w:r>
            <w:r w:rsidR="0008717F" w:rsidRPr="007A4E20">
              <w:rPr>
                <w:rFonts w:ascii="Times New Roman" w:hAnsi="Times New Roman" w:cs="Times New Roman"/>
                <w:sz w:val="24"/>
                <w:szCs w:val="24"/>
              </w:rPr>
              <w:t>ikti daugiau nei vieną projektą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, tačiau jie negali būti kartotiniai.</w:t>
            </w:r>
          </w:p>
          <w:p w:rsidR="000B3248" w:rsidRPr="007A4E20" w:rsidRDefault="000B3248" w:rsidP="007A4E20">
            <w:pPr>
              <w:spacing w:line="324" w:lineRule="auto"/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</w:t>
            </w:r>
            <w:r w:rsidR="00B52F49" w:rsidRPr="007A4E20">
              <w:rPr>
                <w:rFonts w:ascii="Times New Roman" w:hAnsi="Times New Roman" w:cs="Times New Roman"/>
                <w:sz w:val="24"/>
                <w:szCs w:val="24"/>
              </w:rPr>
              <w:t>dėl projekto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, kurį įgyvendinant bus naudojama kitiems asmenims priklausanti nuosavybė, reikalingas savininko sutikimas dėl projekto </w:t>
            </w:r>
            <w:r w:rsidR="007A4E20" w:rsidRPr="007A4E20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7A4E20" w:rsidRPr="007A4E20">
              <w:rPr>
                <w:rFonts w:ascii="Times New Roman" w:hAnsi="Times New Roman" w:cs="Times New Roman"/>
                <w:sz w:val="24"/>
                <w:szCs w:val="24"/>
              </w:rPr>
              <w:t>sukurto produkto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išlikimo ne mažiau kaip 5 metus.</w:t>
            </w:r>
          </w:p>
        </w:tc>
      </w:tr>
      <w:tr w:rsidR="00575353" w:rsidRPr="007A4E20" w:rsidTr="003D4A39">
        <w:tc>
          <w:tcPr>
            <w:tcW w:w="675" w:type="dxa"/>
          </w:tcPr>
          <w:p w:rsidR="00575353" w:rsidRPr="007A4E20" w:rsidRDefault="00171932" w:rsidP="00147A53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A6EAE" w:rsidRPr="007A4E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575353" w:rsidRPr="007A4E20" w:rsidRDefault="00575353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1" w:type="dxa"/>
          </w:tcPr>
          <w:p w:rsidR="00147A53" w:rsidRPr="007A4E20" w:rsidRDefault="00464FBD" w:rsidP="00171932">
            <w:pPr>
              <w:spacing w:line="324" w:lineRule="auto"/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Kauno miesto savivaldybės tarybos </w:t>
            </w:r>
            <w:r w:rsidR="00DC609A" w:rsidRPr="007A4E20">
              <w:rPr>
                <w:rFonts w:ascii="Times New Roman" w:hAnsi="Times New Roman" w:cs="Times New Roman"/>
                <w:sz w:val="24"/>
                <w:szCs w:val="24"/>
              </w:rPr>
              <w:t>2017 m. vasario 7 d. sprendimas Nr. T-</w:t>
            </w:r>
            <w:r w:rsidR="00AE4287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C609A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„Dėl </w:t>
            </w:r>
            <w:r w:rsidR="001A675A" w:rsidRPr="007A4E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C609A" w:rsidRPr="007A4E20">
              <w:rPr>
                <w:rFonts w:ascii="Times New Roman" w:hAnsi="Times New Roman" w:cs="Times New Roman"/>
                <w:sz w:val="24"/>
                <w:szCs w:val="24"/>
              </w:rPr>
              <w:t>iešųjų erdvių akcentų sukūrimo ir įgyvendinimo projektų paraiškų atrankos ir finansavimo tvarkos  aprašo patvirtinimo“</w:t>
            </w:r>
          </w:p>
        </w:tc>
      </w:tr>
      <w:tr w:rsidR="000A6EAE" w:rsidRPr="007A4E20" w:rsidTr="003D4A39">
        <w:tc>
          <w:tcPr>
            <w:tcW w:w="675" w:type="dxa"/>
            <w:hideMark/>
          </w:tcPr>
          <w:p w:rsidR="000A6EAE" w:rsidRPr="007A4E20" w:rsidRDefault="000A6EAE" w:rsidP="00171932">
            <w:pPr>
              <w:pStyle w:val="Sraopastraipa"/>
              <w:spacing w:line="32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932" w:rsidRPr="007A4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hideMark/>
          </w:tcPr>
          <w:p w:rsidR="000A6EAE" w:rsidRPr="007A4E20" w:rsidRDefault="000A6EAE" w:rsidP="00147A53">
            <w:pPr>
              <w:spacing w:line="32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41" w:type="dxa"/>
            <w:hideMark/>
          </w:tcPr>
          <w:p w:rsidR="000F11E5" w:rsidRPr="007A4E20" w:rsidRDefault="00B52F49" w:rsidP="002F5C35">
            <w:pPr>
              <w:spacing w:line="324" w:lineRule="auto"/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0">
              <w:rPr>
                <w:rFonts w:ascii="Times New Roman" w:hAnsi="Times New Roman"/>
                <w:sz w:val="24"/>
                <w:szCs w:val="24"/>
              </w:rPr>
              <w:t>Kauno miesto s</w:t>
            </w:r>
            <w:r w:rsidR="001A7AD7" w:rsidRPr="007A4E20">
              <w:rPr>
                <w:rFonts w:ascii="Times New Roman" w:hAnsi="Times New Roman"/>
                <w:sz w:val="24"/>
                <w:szCs w:val="24"/>
              </w:rPr>
              <w:t>avivaldybės administracijos darbuotojų, atsakingų už paraiškų priėmimą ir informacijos teikimą, kontaktiniai duomenys, informacijos teikimo tvarka</w:t>
            </w:r>
            <w:r w:rsidR="001A7AD7" w:rsidRPr="007A4E20">
              <w:t xml:space="preserve"> </w:t>
            </w:r>
            <w:r w:rsidR="001A7AD7" w:rsidRPr="007A4E20">
              <w:rPr>
                <w:rFonts w:ascii="Times New Roman" w:hAnsi="Times New Roman" w:cs="Times New Roman"/>
                <w:sz w:val="24"/>
                <w:szCs w:val="24"/>
              </w:rPr>
              <w:t>ir dokumentų formos</w:t>
            </w:r>
            <w:r w:rsidR="00464FBD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pateikiamos interneto svetainėje</w:t>
            </w:r>
            <w:r w:rsidR="001A7AD7" w:rsidRPr="007A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F11E5" w:rsidRPr="007A4E20">
                <w:rPr>
                  <w:rFonts w:ascii="Times New Roman" w:hAnsi="Times New Roman" w:cs="Times New Roman"/>
                  <w:sz w:val="24"/>
                  <w:szCs w:val="24"/>
                </w:rPr>
                <w:t>http://akcentai.kaunas.lt/</w:t>
              </w:r>
            </w:hyperlink>
          </w:p>
        </w:tc>
      </w:tr>
    </w:tbl>
    <w:p w:rsidR="001B55EE" w:rsidRPr="004867C4" w:rsidRDefault="00CA664F" w:rsidP="00147A53">
      <w:pPr>
        <w:shd w:val="clear" w:color="auto" w:fill="FFFFFF"/>
        <w:spacing w:after="0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4E2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4867C4" w:rsidSect="0014550F">
      <w:headerReference w:type="default" r:id="rId10"/>
      <w:pgSz w:w="16838" w:h="11906" w:orient="landscape"/>
      <w:pgMar w:top="851" w:right="1135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ED" w:rsidRDefault="00DC68ED" w:rsidP="00241794">
      <w:pPr>
        <w:spacing w:after="0" w:line="240" w:lineRule="auto"/>
      </w:pPr>
      <w:r>
        <w:separator/>
      </w:r>
    </w:p>
  </w:endnote>
  <w:endnote w:type="continuationSeparator" w:id="0">
    <w:p w:rsidR="00DC68ED" w:rsidRDefault="00DC68ED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ED" w:rsidRDefault="00DC68ED" w:rsidP="00241794">
      <w:pPr>
        <w:spacing w:after="0" w:line="240" w:lineRule="auto"/>
      </w:pPr>
      <w:r>
        <w:separator/>
      </w:r>
    </w:p>
  </w:footnote>
  <w:footnote w:type="continuationSeparator" w:id="0">
    <w:p w:rsidR="00DC68ED" w:rsidRDefault="00DC68ED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34D0" w:rsidRPr="00E85556" w:rsidRDefault="00BF34D0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7A4E20">
          <w:rPr>
            <w:rFonts w:ascii="Times New Roman" w:hAnsi="Times New Roman" w:cs="Times New Roman"/>
            <w:noProof/>
          </w:rPr>
          <w:t>3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53"/>
    <w:multiLevelType w:val="multilevel"/>
    <w:tmpl w:val="E3B2B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4A31"/>
    <w:rsid w:val="00012DF3"/>
    <w:rsid w:val="000265D3"/>
    <w:rsid w:val="0008717F"/>
    <w:rsid w:val="000A3ED2"/>
    <w:rsid w:val="000A6EAE"/>
    <w:rsid w:val="000B3248"/>
    <w:rsid w:val="000D2708"/>
    <w:rsid w:val="000E5CE4"/>
    <w:rsid w:val="000F11E5"/>
    <w:rsid w:val="000F6126"/>
    <w:rsid w:val="00101487"/>
    <w:rsid w:val="00103086"/>
    <w:rsid w:val="00103793"/>
    <w:rsid w:val="00143E3D"/>
    <w:rsid w:val="0014550F"/>
    <w:rsid w:val="00147A53"/>
    <w:rsid w:val="00157EBF"/>
    <w:rsid w:val="00162AD3"/>
    <w:rsid w:val="00171932"/>
    <w:rsid w:val="0017608A"/>
    <w:rsid w:val="00195A6E"/>
    <w:rsid w:val="001A1353"/>
    <w:rsid w:val="001A4C7F"/>
    <w:rsid w:val="001A5F75"/>
    <w:rsid w:val="001A675A"/>
    <w:rsid w:val="001A7AD7"/>
    <w:rsid w:val="001B503C"/>
    <w:rsid w:val="001B55EE"/>
    <w:rsid w:val="001E0613"/>
    <w:rsid w:val="001E14A9"/>
    <w:rsid w:val="001E1CC6"/>
    <w:rsid w:val="001E2C8B"/>
    <w:rsid w:val="001E3346"/>
    <w:rsid w:val="00206303"/>
    <w:rsid w:val="002259ED"/>
    <w:rsid w:val="00233331"/>
    <w:rsid w:val="00241794"/>
    <w:rsid w:val="002511FE"/>
    <w:rsid w:val="00252A2F"/>
    <w:rsid w:val="0026158F"/>
    <w:rsid w:val="00282D07"/>
    <w:rsid w:val="00292E9D"/>
    <w:rsid w:val="002945ED"/>
    <w:rsid w:val="002A60B2"/>
    <w:rsid w:val="002B2301"/>
    <w:rsid w:val="002B6867"/>
    <w:rsid w:val="002D11FD"/>
    <w:rsid w:val="002F5C35"/>
    <w:rsid w:val="002F722B"/>
    <w:rsid w:val="00304C4E"/>
    <w:rsid w:val="003251E4"/>
    <w:rsid w:val="00341287"/>
    <w:rsid w:val="003512D2"/>
    <w:rsid w:val="003524F8"/>
    <w:rsid w:val="0035765B"/>
    <w:rsid w:val="00362D62"/>
    <w:rsid w:val="0038539A"/>
    <w:rsid w:val="0039203B"/>
    <w:rsid w:val="00392BBA"/>
    <w:rsid w:val="003B28F7"/>
    <w:rsid w:val="003B5EA8"/>
    <w:rsid w:val="003C3B8D"/>
    <w:rsid w:val="003D4A39"/>
    <w:rsid w:val="003D685F"/>
    <w:rsid w:val="003E37C6"/>
    <w:rsid w:val="00401587"/>
    <w:rsid w:val="0042057F"/>
    <w:rsid w:val="00420B2A"/>
    <w:rsid w:val="00430719"/>
    <w:rsid w:val="00432371"/>
    <w:rsid w:val="004351B0"/>
    <w:rsid w:val="00436874"/>
    <w:rsid w:val="00464FBD"/>
    <w:rsid w:val="00470E55"/>
    <w:rsid w:val="00472C6B"/>
    <w:rsid w:val="004744FE"/>
    <w:rsid w:val="004750F8"/>
    <w:rsid w:val="00481F28"/>
    <w:rsid w:val="00485458"/>
    <w:rsid w:val="004867C4"/>
    <w:rsid w:val="00490A99"/>
    <w:rsid w:val="004D7A73"/>
    <w:rsid w:val="004E043E"/>
    <w:rsid w:val="004F13BB"/>
    <w:rsid w:val="00500217"/>
    <w:rsid w:val="00502EA0"/>
    <w:rsid w:val="00522192"/>
    <w:rsid w:val="005232B2"/>
    <w:rsid w:val="00523AD8"/>
    <w:rsid w:val="005243B6"/>
    <w:rsid w:val="005372C0"/>
    <w:rsid w:val="005373D8"/>
    <w:rsid w:val="00542897"/>
    <w:rsid w:val="00557DF3"/>
    <w:rsid w:val="005615C4"/>
    <w:rsid w:val="0056644C"/>
    <w:rsid w:val="00574112"/>
    <w:rsid w:val="00575353"/>
    <w:rsid w:val="005A2877"/>
    <w:rsid w:val="005A623F"/>
    <w:rsid w:val="005B1DD2"/>
    <w:rsid w:val="005D5DEF"/>
    <w:rsid w:val="005E10E0"/>
    <w:rsid w:val="005E2465"/>
    <w:rsid w:val="005F662A"/>
    <w:rsid w:val="00611215"/>
    <w:rsid w:val="00622DED"/>
    <w:rsid w:val="00626719"/>
    <w:rsid w:val="00632BFC"/>
    <w:rsid w:val="006463CE"/>
    <w:rsid w:val="006527E4"/>
    <w:rsid w:val="0065305C"/>
    <w:rsid w:val="006912AF"/>
    <w:rsid w:val="006B1D2B"/>
    <w:rsid w:val="006B2E0B"/>
    <w:rsid w:val="006B2FB6"/>
    <w:rsid w:val="006B63E7"/>
    <w:rsid w:val="006D5158"/>
    <w:rsid w:val="00705033"/>
    <w:rsid w:val="007146F0"/>
    <w:rsid w:val="0073674A"/>
    <w:rsid w:val="0074190D"/>
    <w:rsid w:val="00753A9D"/>
    <w:rsid w:val="00754431"/>
    <w:rsid w:val="00755834"/>
    <w:rsid w:val="00787F83"/>
    <w:rsid w:val="00792072"/>
    <w:rsid w:val="007A4E20"/>
    <w:rsid w:val="007A785E"/>
    <w:rsid w:val="007C3DCC"/>
    <w:rsid w:val="007E58DC"/>
    <w:rsid w:val="007F0EB1"/>
    <w:rsid w:val="00824033"/>
    <w:rsid w:val="008324EE"/>
    <w:rsid w:val="00846EDB"/>
    <w:rsid w:val="008652A4"/>
    <w:rsid w:val="00872D3B"/>
    <w:rsid w:val="00880A36"/>
    <w:rsid w:val="008856FD"/>
    <w:rsid w:val="008A5700"/>
    <w:rsid w:val="008C7D5A"/>
    <w:rsid w:val="008C7E62"/>
    <w:rsid w:val="008E0D49"/>
    <w:rsid w:val="008E3483"/>
    <w:rsid w:val="00912D68"/>
    <w:rsid w:val="00923E32"/>
    <w:rsid w:val="00945CD4"/>
    <w:rsid w:val="0095309C"/>
    <w:rsid w:val="00976FC7"/>
    <w:rsid w:val="009771BE"/>
    <w:rsid w:val="009816AB"/>
    <w:rsid w:val="0098216D"/>
    <w:rsid w:val="00986A4C"/>
    <w:rsid w:val="009936D3"/>
    <w:rsid w:val="009A01E1"/>
    <w:rsid w:val="009B4F5F"/>
    <w:rsid w:val="009B5BC6"/>
    <w:rsid w:val="009D17F6"/>
    <w:rsid w:val="009D43FD"/>
    <w:rsid w:val="009D6CC3"/>
    <w:rsid w:val="009D6E42"/>
    <w:rsid w:val="009E36A8"/>
    <w:rsid w:val="009E53EF"/>
    <w:rsid w:val="009E75F0"/>
    <w:rsid w:val="009F229A"/>
    <w:rsid w:val="009F5C7D"/>
    <w:rsid w:val="00A25FB1"/>
    <w:rsid w:val="00A51295"/>
    <w:rsid w:val="00A51650"/>
    <w:rsid w:val="00A5431A"/>
    <w:rsid w:val="00A74ED2"/>
    <w:rsid w:val="00A977AB"/>
    <w:rsid w:val="00AB76F9"/>
    <w:rsid w:val="00AE4287"/>
    <w:rsid w:val="00AF0165"/>
    <w:rsid w:val="00AF1FB8"/>
    <w:rsid w:val="00AF62EF"/>
    <w:rsid w:val="00AF6556"/>
    <w:rsid w:val="00AF7270"/>
    <w:rsid w:val="00B23DC6"/>
    <w:rsid w:val="00B43DFE"/>
    <w:rsid w:val="00B5236B"/>
    <w:rsid w:val="00B52F49"/>
    <w:rsid w:val="00B612A5"/>
    <w:rsid w:val="00B6441D"/>
    <w:rsid w:val="00B6520F"/>
    <w:rsid w:val="00B7237A"/>
    <w:rsid w:val="00B752B1"/>
    <w:rsid w:val="00BC225D"/>
    <w:rsid w:val="00BC2407"/>
    <w:rsid w:val="00BC31A0"/>
    <w:rsid w:val="00BF1E86"/>
    <w:rsid w:val="00BF34D0"/>
    <w:rsid w:val="00C0139D"/>
    <w:rsid w:val="00C13779"/>
    <w:rsid w:val="00C17084"/>
    <w:rsid w:val="00C332AF"/>
    <w:rsid w:val="00C3722F"/>
    <w:rsid w:val="00C430DF"/>
    <w:rsid w:val="00C470AE"/>
    <w:rsid w:val="00C6065A"/>
    <w:rsid w:val="00C64EE2"/>
    <w:rsid w:val="00C71C5B"/>
    <w:rsid w:val="00C8451C"/>
    <w:rsid w:val="00C9683F"/>
    <w:rsid w:val="00C96E90"/>
    <w:rsid w:val="00CA1CC2"/>
    <w:rsid w:val="00CA3CFE"/>
    <w:rsid w:val="00CA664F"/>
    <w:rsid w:val="00CA7BDD"/>
    <w:rsid w:val="00CB12C6"/>
    <w:rsid w:val="00CB7C52"/>
    <w:rsid w:val="00CD0B24"/>
    <w:rsid w:val="00CE2B90"/>
    <w:rsid w:val="00CE3347"/>
    <w:rsid w:val="00CE4E1F"/>
    <w:rsid w:val="00CF2762"/>
    <w:rsid w:val="00D31F3F"/>
    <w:rsid w:val="00D37236"/>
    <w:rsid w:val="00D45CF7"/>
    <w:rsid w:val="00D6047B"/>
    <w:rsid w:val="00D72B40"/>
    <w:rsid w:val="00D80D3F"/>
    <w:rsid w:val="00D80DB1"/>
    <w:rsid w:val="00D938EB"/>
    <w:rsid w:val="00DB0B3B"/>
    <w:rsid w:val="00DC609A"/>
    <w:rsid w:val="00DC68ED"/>
    <w:rsid w:val="00DD5ED6"/>
    <w:rsid w:val="00DE08BD"/>
    <w:rsid w:val="00E05086"/>
    <w:rsid w:val="00E10572"/>
    <w:rsid w:val="00E208D9"/>
    <w:rsid w:val="00E33530"/>
    <w:rsid w:val="00E41259"/>
    <w:rsid w:val="00E55F4C"/>
    <w:rsid w:val="00E7174A"/>
    <w:rsid w:val="00E71F1F"/>
    <w:rsid w:val="00E7619F"/>
    <w:rsid w:val="00E83E13"/>
    <w:rsid w:val="00E85556"/>
    <w:rsid w:val="00EC1EE5"/>
    <w:rsid w:val="00ED4334"/>
    <w:rsid w:val="00F126A3"/>
    <w:rsid w:val="00F143DB"/>
    <w:rsid w:val="00F1611D"/>
    <w:rsid w:val="00F16F81"/>
    <w:rsid w:val="00F44C74"/>
    <w:rsid w:val="00F668B5"/>
    <w:rsid w:val="00F7197A"/>
    <w:rsid w:val="00FA180A"/>
    <w:rsid w:val="00FA38B1"/>
    <w:rsid w:val="00FA75E2"/>
    <w:rsid w:val="00FB58AB"/>
    <w:rsid w:val="00FC0A97"/>
    <w:rsid w:val="00FC781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centai.kaunas.l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centai.kauna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5598</Characters>
  <Application>Microsoft Office Word</Application>
  <DocSecurity>0</DocSecurity>
  <Lines>207</Lines>
  <Paragraphs>102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SRITĮ „SKULPTŪRŲ, KURIOS SUTEIKTŲ ERDVEI PATRAUKLUMO IR INDIVIDUALUMO, SUKŪRIMAS IR ĮRENGIMAS“ NR. 2017-1-1</dc:subject>
  <dc:creator>Plėtros programų ir investicijų skyrius</dc:creator>
  <cp:lastModifiedBy>Vitalija Romanovienė</cp:lastModifiedBy>
  <cp:revision>4</cp:revision>
  <cp:lastPrinted>2018-01-10T08:37:00Z</cp:lastPrinted>
  <dcterms:created xsi:type="dcterms:W3CDTF">2018-11-09T14:10:00Z</dcterms:created>
  <dcterms:modified xsi:type="dcterms:W3CDTF">2018-11-12T06:56:00Z</dcterms:modified>
</cp:coreProperties>
</file>